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F3EAF3" w14:textId="35B1836B" w:rsidR="00974E0E" w:rsidRPr="00974E0E" w:rsidRDefault="00974E0E" w:rsidP="00974E0E">
      <w:pPr>
        <w:jc w:val="center"/>
        <w:rPr>
          <w:rFonts w:ascii="Arial" w:hAnsi="Arial" w:cs="Arial"/>
          <w:sz w:val="22"/>
        </w:rPr>
      </w:pPr>
      <w:r>
        <w:rPr>
          <w:rFonts w:ascii="Arial" w:hAnsi="Arial" w:cs="Arial"/>
          <w:sz w:val="22"/>
        </w:rPr>
        <w:t>DRAFT – FOR SETTLEMENT</w:t>
      </w:r>
      <w:bookmarkStart w:id="0" w:name="_GoBack"/>
      <w:bookmarkEnd w:id="0"/>
      <w:r>
        <w:rPr>
          <w:rFonts w:ascii="Arial" w:hAnsi="Arial" w:cs="Arial"/>
          <w:sz w:val="22"/>
        </w:rPr>
        <w:t xml:space="preserve"> PURPOSES ONLY</w:t>
      </w:r>
    </w:p>
    <w:p w14:paraId="060F8D56" w14:textId="3D21B6CA" w:rsidR="00F412F7" w:rsidRDefault="00974E0E" w:rsidP="007C3786">
      <w:pPr>
        <w:jc w:val="center"/>
        <w:rPr>
          <w:rFonts w:ascii="Arial" w:hAnsi="Arial" w:cs="Arial"/>
          <w:b/>
        </w:rPr>
      </w:pPr>
      <w:r>
        <w:rPr>
          <w:rFonts w:ascii="Arial" w:hAnsi="Arial" w:cs="Arial"/>
          <w:b/>
        </w:rPr>
        <w:t xml:space="preserve">SUMMARY OF SEARCH CONDUCTED BY </w:t>
      </w:r>
      <w:r w:rsidR="007C3786" w:rsidRPr="00C27CD6">
        <w:rPr>
          <w:rFonts w:ascii="Arial" w:hAnsi="Arial" w:cs="Arial"/>
          <w:b/>
        </w:rPr>
        <w:t xml:space="preserve">THE TREASURY OFFICE OF INSPECTOR GENERAL </w:t>
      </w:r>
    </w:p>
    <w:p w14:paraId="516E3414" w14:textId="620B1331" w:rsidR="00974E0E" w:rsidRPr="00974E0E" w:rsidRDefault="00974E0E" w:rsidP="007C3786">
      <w:pPr>
        <w:jc w:val="center"/>
        <w:rPr>
          <w:rFonts w:ascii="Arial" w:hAnsi="Arial" w:cs="Arial"/>
          <w:i/>
        </w:rPr>
      </w:pPr>
      <w:r>
        <w:rPr>
          <w:rFonts w:ascii="Arial" w:hAnsi="Arial" w:cs="Arial"/>
          <w:b/>
          <w:i/>
        </w:rPr>
        <w:t>Privacy Int’l, et al. v. FBI, et al.</w:t>
      </w:r>
    </w:p>
    <w:p w14:paraId="1DADBEDD" w14:textId="5C12BEAE" w:rsidR="007C3786" w:rsidRPr="00974E0E" w:rsidRDefault="007A1697" w:rsidP="007A1697">
      <w:pPr>
        <w:ind w:firstLine="720"/>
        <w:rPr>
          <w:rFonts w:ascii="Arial" w:hAnsi="Arial" w:cs="Arial"/>
        </w:rPr>
      </w:pPr>
      <w:r>
        <w:rPr>
          <w:rFonts w:ascii="Arial" w:hAnsi="Arial" w:cs="Arial"/>
        </w:rPr>
        <w:t xml:space="preserve">This memorandum describes how the Treasury Office of Inspector General (TIG) processed </w:t>
      </w:r>
      <w:r w:rsidR="00974E0E" w:rsidRPr="00974E0E">
        <w:rPr>
          <w:rFonts w:ascii="Arial" w:hAnsi="Arial" w:cs="Arial"/>
        </w:rPr>
        <w:t>Plaintiffs’ Freedom of Information Act (FOIA) request</w:t>
      </w:r>
      <w:r>
        <w:rPr>
          <w:rFonts w:ascii="Arial" w:hAnsi="Arial" w:cs="Arial"/>
        </w:rPr>
        <w:t>.  The request</w:t>
      </w:r>
      <w:r w:rsidR="00974E0E" w:rsidRPr="00974E0E">
        <w:rPr>
          <w:rFonts w:ascii="Arial" w:hAnsi="Arial" w:cs="Arial"/>
        </w:rPr>
        <w:t xml:space="preserve"> </w:t>
      </w:r>
      <w:r w:rsidR="007C3786" w:rsidRPr="00974E0E">
        <w:rPr>
          <w:rFonts w:ascii="Arial" w:hAnsi="Arial" w:cs="Arial"/>
        </w:rPr>
        <w:t>sought the following records:</w:t>
      </w:r>
    </w:p>
    <w:p w14:paraId="2D7FD49E" w14:textId="77777777" w:rsidR="007C3786" w:rsidRPr="00C27CD6" w:rsidRDefault="007C3786" w:rsidP="001A5C6D">
      <w:pPr>
        <w:pStyle w:val="ListParagraph"/>
        <w:numPr>
          <w:ilvl w:val="0"/>
          <w:numId w:val="1"/>
        </w:numPr>
        <w:rPr>
          <w:rFonts w:ascii="Arial" w:hAnsi="Arial" w:cs="Arial"/>
        </w:rPr>
      </w:pPr>
      <w:r w:rsidRPr="00C27CD6">
        <w:rPr>
          <w:rFonts w:ascii="Arial" w:hAnsi="Arial" w:cs="Arial"/>
        </w:rPr>
        <w:t>Any reports, memoranda, summaries or similar documents arising out of an investigation, internal inquiry, audit, evaluation or other oversight activity that concerns hacking techniques or the use of equipment, software and/or other technology that implements or facilitates hacking techniques.</w:t>
      </w:r>
    </w:p>
    <w:p w14:paraId="1C0C6AF2" w14:textId="77777777" w:rsidR="007C3786" w:rsidRPr="00C27CD6" w:rsidRDefault="007C3786" w:rsidP="001A5C6D">
      <w:pPr>
        <w:pStyle w:val="ListParagraph"/>
        <w:ind w:left="1080"/>
        <w:rPr>
          <w:rFonts w:ascii="Arial" w:hAnsi="Arial" w:cs="Arial"/>
        </w:rPr>
      </w:pPr>
    </w:p>
    <w:p w14:paraId="236F8C93" w14:textId="63A495C2" w:rsidR="007C3786" w:rsidRDefault="007C3786" w:rsidP="001A5C6D">
      <w:pPr>
        <w:pStyle w:val="ListParagraph"/>
        <w:numPr>
          <w:ilvl w:val="0"/>
          <w:numId w:val="1"/>
        </w:numPr>
        <w:rPr>
          <w:rFonts w:ascii="Arial" w:hAnsi="Arial" w:cs="Arial"/>
        </w:rPr>
      </w:pPr>
      <w:r w:rsidRPr="00C27CD6">
        <w:rPr>
          <w:rFonts w:ascii="Arial" w:hAnsi="Arial" w:cs="Arial"/>
        </w:rPr>
        <w:t>Any records that the OIG relied upon in the course of preparing reports or other documents responsive to request (1).</w:t>
      </w:r>
    </w:p>
    <w:p w14:paraId="27ECEE77" w14:textId="70031917" w:rsidR="00AF14D9" w:rsidRPr="00974E0E" w:rsidRDefault="007A1697" w:rsidP="00974E0E">
      <w:pPr>
        <w:rPr>
          <w:rFonts w:ascii="Arial" w:hAnsi="Arial" w:cs="Arial"/>
        </w:rPr>
      </w:pPr>
      <w:r>
        <w:rPr>
          <w:rFonts w:ascii="Arial" w:hAnsi="Arial" w:cs="Arial"/>
        </w:rPr>
        <w:t>TIG</w:t>
      </w:r>
      <w:r w:rsidR="00AF14D9" w:rsidRPr="00974E0E">
        <w:rPr>
          <w:rFonts w:ascii="Arial" w:hAnsi="Arial" w:cs="Arial"/>
        </w:rPr>
        <w:t xml:space="preserve"> conducted a search for records in the two offices </w:t>
      </w:r>
      <w:r w:rsidR="00F412F7" w:rsidRPr="00974E0E">
        <w:rPr>
          <w:rFonts w:ascii="Arial" w:hAnsi="Arial" w:cs="Arial"/>
        </w:rPr>
        <w:t>that might have responsive records</w:t>
      </w:r>
      <w:r w:rsidR="00AF14D9" w:rsidRPr="00974E0E">
        <w:rPr>
          <w:rFonts w:ascii="Arial" w:hAnsi="Arial" w:cs="Arial"/>
        </w:rPr>
        <w:t xml:space="preserve"> (if such records exist): </w:t>
      </w:r>
      <w:r w:rsidR="00F412F7" w:rsidRPr="00974E0E">
        <w:rPr>
          <w:rFonts w:ascii="Arial" w:hAnsi="Arial" w:cs="Arial"/>
        </w:rPr>
        <w:t xml:space="preserve"> the Office of Investigations (OI) and the Office of Audit (OA).  </w:t>
      </w:r>
      <w:r w:rsidR="00AF14D9" w:rsidRPr="00974E0E">
        <w:rPr>
          <w:rFonts w:ascii="Arial" w:hAnsi="Arial" w:cs="Arial"/>
        </w:rPr>
        <w:t>TIG did not locate any responsive records.</w:t>
      </w:r>
    </w:p>
    <w:p w14:paraId="1836185D" w14:textId="2E3E9FCE" w:rsidR="00C27CD6" w:rsidRPr="00974E0E" w:rsidRDefault="00B022ED" w:rsidP="00974E0E">
      <w:pPr>
        <w:rPr>
          <w:rFonts w:ascii="Arial" w:hAnsi="Arial" w:cs="Arial"/>
        </w:rPr>
      </w:pPr>
      <w:r w:rsidRPr="00974E0E">
        <w:rPr>
          <w:rFonts w:ascii="Arial" w:hAnsi="Arial" w:cs="Arial"/>
          <w:u w:val="single"/>
        </w:rPr>
        <w:t>Office of Investigations:</w:t>
      </w:r>
      <w:r w:rsidR="00C27CD6" w:rsidRPr="00974E0E">
        <w:rPr>
          <w:rFonts w:ascii="Arial" w:hAnsi="Arial" w:cs="Arial"/>
        </w:rPr>
        <w:t xml:space="preserve"> </w:t>
      </w:r>
      <w:r w:rsidR="00AF14D9" w:rsidRPr="00974E0E">
        <w:rPr>
          <w:rFonts w:ascii="Arial" w:hAnsi="Arial" w:cs="Arial"/>
        </w:rPr>
        <w:t xml:space="preserve">With respect to the </w:t>
      </w:r>
      <w:r w:rsidR="008E65E0" w:rsidRPr="00974E0E">
        <w:rPr>
          <w:rFonts w:ascii="Arial" w:hAnsi="Arial" w:cs="Arial"/>
        </w:rPr>
        <w:t>OI,</w:t>
      </w:r>
      <w:r w:rsidR="00AF14D9" w:rsidRPr="00974E0E">
        <w:rPr>
          <w:rFonts w:ascii="Arial" w:hAnsi="Arial" w:cs="Arial"/>
        </w:rPr>
        <w:t xml:space="preserve"> </w:t>
      </w:r>
      <w:r w:rsidR="008E65E0" w:rsidRPr="00974E0E">
        <w:rPr>
          <w:rFonts w:ascii="Arial" w:hAnsi="Arial" w:cs="Arial"/>
        </w:rPr>
        <w:t xml:space="preserve">TIG conducted an electronic search of </w:t>
      </w:r>
    </w:p>
    <w:p w14:paraId="414994F8" w14:textId="77777777" w:rsidR="00C27CD6" w:rsidRDefault="008E65E0" w:rsidP="007A1697">
      <w:pPr>
        <w:ind w:left="720"/>
        <w:rPr>
          <w:rFonts w:ascii="Arial" w:hAnsi="Arial" w:cs="Arial"/>
        </w:rPr>
      </w:pPr>
      <w:r w:rsidRPr="00C27CD6">
        <w:rPr>
          <w:rFonts w:ascii="Arial" w:hAnsi="Arial" w:cs="Arial"/>
        </w:rPr>
        <w:t>(1) t</w:t>
      </w:r>
      <w:r w:rsidR="00AF14D9" w:rsidRPr="00C27CD6">
        <w:rPr>
          <w:rFonts w:ascii="Arial" w:hAnsi="Arial" w:cs="Arial"/>
        </w:rPr>
        <w:t>he Vault for Investigative Produced Electronic Records (VIPER)</w:t>
      </w:r>
      <w:r w:rsidRPr="00C27CD6">
        <w:rPr>
          <w:rFonts w:ascii="Arial" w:hAnsi="Arial" w:cs="Arial"/>
        </w:rPr>
        <w:t>, which</w:t>
      </w:r>
      <w:r w:rsidR="00AF14D9" w:rsidRPr="00C27CD6">
        <w:rPr>
          <w:rFonts w:ascii="Arial" w:hAnsi="Arial" w:cs="Arial"/>
        </w:rPr>
        <w:t xml:space="preserve"> has been OI’s official case management system since April 1, 2017</w:t>
      </w:r>
      <w:r w:rsidRPr="00C27CD6">
        <w:rPr>
          <w:rFonts w:ascii="Arial" w:hAnsi="Arial" w:cs="Arial"/>
        </w:rPr>
        <w:t xml:space="preserve">, and </w:t>
      </w:r>
    </w:p>
    <w:p w14:paraId="6B581C2A" w14:textId="77777777" w:rsidR="00C27CD6" w:rsidRDefault="00F31908" w:rsidP="007A1697">
      <w:pPr>
        <w:ind w:left="720"/>
        <w:rPr>
          <w:rFonts w:ascii="Arial" w:hAnsi="Arial" w:cs="Arial"/>
        </w:rPr>
      </w:pPr>
      <w:r w:rsidRPr="00C27CD6">
        <w:rPr>
          <w:rFonts w:ascii="Arial" w:hAnsi="Arial" w:cs="Arial"/>
        </w:rPr>
        <w:t xml:space="preserve">(2) </w:t>
      </w:r>
      <w:r w:rsidR="00AF14D9" w:rsidRPr="00C27CD6">
        <w:rPr>
          <w:rFonts w:ascii="Arial" w:hAnsi="Arial" w:cs="Arial"/>
        </w:rPr>
        <w:t>Investigation Management Information System (IMIS) from approximately November 2008 through March 2017.</w:t>
      </w:r>
      <w:r w:rsidR="008E65E0" w:rsidRPr="00C27CD6">
        <w:rPr>
          <w:rStyle w:val="FootnoteReference"/>
          <w:rFonts w:ascii="Arial" w:hAnsi="Arial" w:cs="Arial"/>
        </w:rPr>
        <w:footnoteReference w:id="1"/>
      </w:r>
      <w:r w:rsidR="00AF14D9" w:rsidRPr="00C27CD6">
        <w:rPr>
          <w:rFonts w:ascii="Arial" w:hAnsi="Arial" w:cs="Arial"/>
        </w:rPr>
        <w:t xml:space="preserve"> </w:t>
      </w:r>
    </w:p>
    <w:p w14:paraId="478503CD" w14:textId="4308914D" w:rsidR="00AF14D9" w:rsidRPr="00C27CD6" w:rsidRDefault="00AF14D9" w:rsidP="00974E0E">
      <w:pPr>
        <w:rPr>
          <w:rFonts w:ascii="Arial" w:hAnsi="Arial" w:cs="Arial"/>
        </w:rPr>
      </w:pPr>
      <w:r w:rsidRPr="00C27CD6">
        <w:rPr>
          <w:rFonts w:ascii="Arial" w:hAnsi="Arial" w:cs="Arial"/>
        </w:rPr>
        <w:t>With the exception of electronic files, all data was imported from IMIS into VIPER in April 2017.</w:t>
      </w:r>
      <w:r w:rsidR="001A5C6D" w:rsidRPr="00C27CD6">
        <w:rPr>
          <w:rFonts w:ascii="Arial" w:hAnsi="Arial" w:cs="Arial"/>
        </w:rPr>
        <w:t xml:space="preserve"> Electronic files in IMIS were searched to the extent that they could be.  The IMIS database records were migrated to VIPER in April 2017, but electronic files (Word documents, PDFs, etc.) were no</w:t>
      </w:r>
      <w:r w:rsidR="007A1697">
        <w:rPr>
          <w:rFonts w:ascii="Arial" w:hAnsi="Arial" w:cs="Arial"/>
        </w:rPr>
        <w:t>t migrated from IMIS to VIPER. I</w:t>
      </w:r>
      <w:r w:rsidR="001A5C6D" w:rsidRPr="00C27CD6">
        <w:rPr>
          <w:rFonts w:ascii="Arial" w:hAnsi="Arial" w:cs="Arial"/>
        </w:rPr>
        <w:t xml:space="preserve">f the OI had conducted an investigation into the use of the techniques mentioned in Plaintiffs’ request, information about such investigations would be found in these systems depend on the language that the cyber agents would potentially use as to whether we would locate responsive records.  </w:t>
      </w:r>
    </w:p>
    <w:p w14:paraId="0A0B4A8E" w14:textId="7EE88E29" w:rsidR="00AF14D9" w:rsidRPr="00C27CD6" w:rsidRDefault="00AF14D9" w:rsidP="007A1697">
      <w:pPr>
        <w:ind w:firstLine="720"/>
        <w:rPr>
          <w:rFonts w:ascii="Arial" w:hAnsi="Arial" w:cs="Arial"/>
        </w:rPr>
      </w:pPr>
      <w:r w:rsidRPr="00C27CD6">
        <w:rPr>
          <w:rFonts w:ascii="Arial" w:hAnsi="Arial" w:cs="Arial"/>
        </w:rPr>
        <w:t>Each of the</w:t>
      </w:r>
      <w:r w:rsidR="00F31908" w:rsidRPr="00C27CD6">
        <w:rPr>
          <w:rFonts w:ascii="Arial" w:hAnsi="Arial" w:cs="Arial"/>
        </w:rPr>
        <w:t>se</w:t>
      </w:r>
      <w:r w:rsidRPr="00C27CD6">
        <w:rPr>
          <w:rFonts w:ascii="Arial" w:hAnsi="Arial" w:cs="Arial"/>
        </w:rPr>
        <w:t xml:space="preserve"> case management systems has unique search capabilities. VIPER searches all database fields while IMIS only searches case titles, summaries, entities, </w:t>
      </w:r>
      <w:r w:rsidRPr="00C27CD6">
        <w:rPr>
          <w:rFonts w:ascii="Arial" w:hAnsi="Arial" w:cs="Arial"/>
        </w:rPr>
        <w:lastRenderedPageBreak/>
        <w:t xml:space="preserve">electronic files, notes, and investigative activity notes. </w:t>
      </w:r>
      <w:r w:rsidR="00151965" w:rsidRPr="00C27CD6">
        <w:rPr>
          <w:rStyle w:val="CommentReference"/>
          <w:rFonts w:ascii="Arial" w:hAnsi="Arial" w:cs="Arial"/>
          <w:sz w:val="24"/>
          <w:szCs w:val="24"/>
        </w:rPr>
        <w:t>V</w:t>
      </w:r>
      <w:r w:rsidRPr="00C27CD6">
        <w:rPr>
          <w:rFonts w:ascii="Arial" w:hAnsi="Arial" w:cs="Arial"/>
        </w:rPr>
        <w:t>IPER and IMIS only search electronic files containing searchable text. Electronic files that do not contain searchable text, and have not had object character recognition performed, will not appear in search results unless associated file metadata (e.g. filename) contains responsive information.</w:t>
      </w:r>
      <w:r w:rsidR="00151965" w:rsidRPr="00C27CD6">
        <w:rPr>
          <w:rFonts w:ascii="Arial" w:hAnsi="Arial" w:cs="Arial"/>
        </w:rPr>
        <w:t xml:space="preserve">  </w:t>
      </w:r>
    </w:p>
    <w:p w14:paraId="03ACD050" w14:textId="3CE7B9CB" w:rsidR="00B022ED" w:rsidRPr="00C27CD6" w:rsidRDefault="00B022ED" w:rsidP="00BA452E">
      <w:pPr>
        <w:ind w:firstLine="720"/>
        <w:rPr>
          <w:rFonts w:ascii="Arial" w:hAnsi="Arial" w:cs="Arial"/>
        </w:rPr>
      </w:pPr>
      <w:r w:rsidRPr="00C27CD6">
        <w:rPr>
          <w:rFonts w:ascii="Arial" w:hAnsi="Arial" w:cs="Arial"/>
        </w:rPr>
        <w:t>In conducting the searches, TIG used the following search terms, which were taken from the text of Plaintiffs’ request letter:</w:t>
      </w:r>
    </w:p>
    <w:p w14:paraId="48082251" w14:textId="77777777" w:rsidR="00B022ED" w:rsidRPr="00C27CD6" w:rsidRDefault="00B022ED" w:rsidP="00B022ED">
      <w:pPr>
        <w:ind w:firstLine="720"/>
        <w:rPr>
          <w:rFonts w:ascii="Arial" w:hAnsi="Arial" w:cs="Arial"/>
        </w:rPr>
      </w:pPr>
      <w:r w:rsidRPr="00C27CD6">
        <w:rPr>
          <w:rFonts w:ascii="Arial" w:hAnsi="Arial" w:cs="Arial"/>
        </w:rPr>
        <w:t>hacking techniques;</w:t>
      </w:r>
    </w:p>
    <w:p w14:paraId="7B196A4B" w14:textId="77777777" w:rsidR="00B022ED" w:rsidRPr="00C27CD6" w:rsidRDefault="00B022ED" w:rsidP="00B022ED">
      <w:pPr>
        <w:ind w:firstLine="720"/>
        <w:rPr>
          <w:rFonts w:ascii="Arial" w:hAnsi="Arial" w:cs="Arial"/>
        </w:rPr>
      </w:pPr>
      <w:r w:rsidRPr="00C27CD6">
        <w:rPr>
          <w:rFonts w:ascii="Arial" w:hAnsi="Arial" w:cs="Arial"/>
        </w:rPr>
        <w:t>Network Investigation Technique" or NIT;</w:t>
      </w:r>
    </w:p>
    <w:p w14:paraId="190FBC87" w14:textId="77777777" w:rsidR="00B022ED" w:rsidRPr="00C27CD6" w:rsidRDefault="00B022ED" w:rsidP="00B022ED">
      <w:pPr>
        <w:ind w:firstLine="720"/>
        <w:rPr>
          <w:rFonts w:ascii="Arial" w:hAnsi="Arial" w:cs="Arial"/>
        </w:rPr>
      </w:pPr>
      <w:r w:rsidRPr="00C27CD6">
        <w:rPr>
          <w:rFonts w:ascii="Arial" w:hAnsi="Arial" w:cs="Arial"/>
        </w:rPr>
        <w:t>Computer Network Exploitation" or "CNE”;</w:t>
      </w:r>
    </w:p>
    <w:p w14:paraId="0BC0557F" w14:textId="77777777" w:rsidR="00B022ED" w:rsidRPr="00C27CD6" w:rsidRDefault="00B022ED" w:rsidP="00B022ED">
      <w:pPr>
        <w:ind w:firstLine="720"/>
        <w:rPr>
          <w:rFonts w:ascii="Arial" w:hAnsi="Arial" w:cs="Arial"/>
        </w:rPr>
      </w:pPr>
      <w:r w:rsidRPr="00C27CD6">
        <w:rPr>
          <w:rFonts w:ascii="Arial" w:hAnsi="Arial" w:cs="Arial"/>
        </w:rPr>
        <w:t>Computer and Internet Protocol Address Verifier or CIPAV;</w:t>
      </w:r>
    </w:p>
    <w:p w14:paraId="6C9CA36E" w14:textId="77777777" w:rsidR="00B022ED" w:rsidRPr="00C27CD6" w:rsidRDefault="00B022ED" w:rsidP="00B022ED">
      <w:pPr>
        <w:ind w:firstLine="720"/>
        <w:rPr>
          <w:rFonts w:ascii="Arial" w:hAnsi="Arial" w:cs="Arial"/>
        </w:rPr>
      </w:pPr>
      <w:r w:rsidRPr="00C27CD6">
        <w:rPr>
          <w:rFonts w:ascii="Arial" w:hAnsi="Arial" w:cs="Arial"/>
        </w:rPr>
        <w:t>Internet Protocol Address Verifier or IPAV;</w:t>
      </w:r>
    </w:p>
    <w:p w14:paraId="503698F0" w14:textId="77777777" w:rsidR="00B022ED" w:rsidRPr="00C27CD6" w:rsidRDefault="00B022ED" w:rsidP="00B022ED">
      <w:pPr>
        <w:ind w:firstLine="720"/>
        <w:rPr>
          <w:rFonts w:ascii="Arial" w:hAnsi="Arial" w:cs="Arial"/>
        </w:rPr>
      </w:pPr>
      <w:r w:rsidRPr="00C27CD6">
        <w:rPr>
          <w:rFonts w:ascii="Arial" w:hAnsi="Arial" w:cs="Arial"/>
        </w:rPr>
        <w:t>Remote Access Search and Surveillance or RASS;</w:t>
      </w:r>
    </w:p>
    <w:p w14:paraId="59961144" w14:textId="77777777" w:rsidR="00B022ED" w:rsidRPr="00C27CD6" w:rsidRDefault="00B022ED" w:rsidP="00B022ED">
      <w:pPr>
        <w:ind w:firstLine="720"/>
        <w:rPr>
          <w:rFonts w:ascii="Arial" w:hAnsi="Arial" w:cs="Arial"/>
        </w:rPr>
      </w:pPr>
      <w:r w:rsidRPr="00C27CD6">
        <w:rPr>
          <w:rFonts w:ascii="Arial" w:hAnsi="Arial" w:cs="Arial"/>
        </w:rPr>
        <w:t>Remote Computer Search;</w:t>
      </w:r>
    </w:p>
    <w:p w14:paraId="6D2154FD" w14:textId="77777777" w:rsidR="00B022ED" w:rsidRPr="00C27CD6" w:rsidRDefault="00B022ED" w:rsidP="00B022ED">
      <w:pPr>
        <w:ind w:firstLine="720"/>
        <w:rPr>
          <w:rFonts w:ascii="Arial" w:hAnsi="Arial" w:cs="Arial"/>
        </w:rPr>
      </w:pPr>
      <w:r w:rsidRPr="00C27CD6">
        <w:rPr>
          <w:rFonts w:ascii="Arial" w:hAnsi="Arial" w:cs="Arial"/>
        </w:rPr>
        <w:t>Remote Access Search;</w:t>
      </w:r>
    </w:p>
    <w:p w14:paraId="32C64E58" w14:textId="77777777" w:rsidR="00B022ED" w:rsidRPr="00C27CD6" w:rsidRDefault="00B022ED" w:rsidP="00B022ED">
      <w:pPr>
        <w:ind w:firstLine="720"/>
        <w:rPr>
          <w:rFonts w:ascii="Arial" w:hAnsi="Arial" w:cs="Arial"/>
        </w:rPr>
      </w:pPr>
      <w:r w:rsidRPr="00C27CD6">
        <w:rPr>
          <w:rFonts w:ascii="Arial" w:hAnsi="Arial" w:cs="Arial"/>
        </w:rPr>
        <w:t>Remote Search;</w:t>
      </w:r>
    </w:p>
    <w:p w14:paraId="7CB8571D" w14:textId="77777777" w:rsidR="00B022ED" w:rsidRPr="00C27CD6" w:rsidRDefault="00B022ED" w:rsidP="00B022ED">
      <w:pPr>
        <w:ind w:firstLine="720"/>
        <w:rPr>
          <w:rFonts w:ascii="Arial" w:hAnsi="Arial" w:cs="Arial"/>
        </w:rPr>
      </w:pPr>
      <w:r w:rsidRPr="00C27CD6">
        <w:rPr>
          <w:rFonts w:ascii="Arial" w:hAnsi="Arial" w:cs="Arial"/>
        </w:rPr>
        <w:t>Web Bug;</w:t>
      </w:r>
    </w:p>
    <w:p w14:paraId="46F2E8DF" w14:textId="77777777" w:rsidR="00B022ED" w:rsidRPr="00C27CD6" w:rsidRDefault="00B022ED" w:rsidP="00B022ED">
      <w:pPr>
        <w:ind w:firstLine="720"/>
        <w:rPr>
          <w:rFonts w:ascii="Arial" w:hAnsi="Arial" w:cs="Arial"/>
        </w:rPr>
      </w:pPr>
      <w:r w:rsidRPr="00C27CD6">
        <w:rPr>
          <w:rFonts w:ascii="Arial" w:hAnsi="Arial" w:cs="Arial"/>
        </w:rPr>
        <w:t>Sniffer;</w:t>
      </w:r>
    </w:p>
    <w:p w14:paraId="6FDC9E3B" w14:textId="77777777" w:rsidR="00B022ED" w:rsidRPr="00C27CD6" w:rsidRDefault="00B022ED" w:rsidP="00B022ED">
      <w:pPr>
        <w:ind w:firstLine="720"/>
        <w:rPr>
          <w:rFonts w:ascii="Arial" w:hAnsi="Arial" w:cs="Arial"/>
        </w:rPr>
      </w:pPr>
      <w:r w:rsidRPr="00C27CD6">
        <w:rPr>
          <w:rFonts w:ascii="Arial" w:hAnsi="Arial" w:cs="Arial"/>
        </w:rPr>
        <w:t>Computer Tracer;</w:t>
      </w:r>
    </w:p>
    <w:p w14:paraId="7DAF3ADC" w14:textId="77777777" w:rsidR="00B022ED" w:rsidRPr="00C27CD6" w:rsidRDefault="00B022ED" w:rsidP="00B022ED">
      <w:pPr>
        <w:ind w:firstLine="720"/>
        <w:rPr>
          <w:rFonts w:ascii="Arial" w:hAnsi="Arial" w:cs="Arial"/>
        </w:rPr>
      </w:pPr>
      <w:r w:rsidRPr="00C27CD6">
        <w:rPr>
          <w:rFonts w:ascii="Arial" w:hAnsi="Arial" w:cs="Arial"/>
        </w:rPr>
        <w:t>Internet Tracer;</w:t>
      </w:r>
    </w:p>
    <w:p w14:paraId="46720CD2" w14:textId="77777777" w:rsidR="00B022ED" w:rsidRPr="00C27CD6" w:rsidRDefault="00B022ED" w:rsidP="00B022ED">
      <w:pPr>
        <w:ind w:firstLine="720"/>
        <w:rPr>
          <w:rFonts w:ascii="Arial" w:hAnsi="Arial" w:cs="Arial"/>
        </w:rPr>
      </w:pPr>
      <w:r w:rsidRPr="00C27CD6">
        <w:rPr>
          <w:rFonts w:ascii="Arial" w:hAnsi="Arial" w:cs="Arial"/>
        </w:rPr>
        <w:t>Remote Computer Trace;</w:t>
      </w:r>
    </w:p>
    <w:p w14:paraId="2062BAB8" w14:textId="77777777" w:rsidR="00B022ED" w:rsidRPr="00C27CD6" w:rsidRDefault="00B022ED" w:rsidP="00B022ED">
      <w:pPr>
        <w:ind w:firstLine="720"/>
        <w:rPr>
          <w:rFonts w:ascii="Arial" w:hAnsi="Arial" w:cs="Arial"/>
        </w:rPr>
      </w:pPr>
      <w:r w:rsidRPr="00C27CD6">
        <w:rPr>
          <w:rFonts w:ascii="Arial" w:hAnsi="Arial" w:cs="Arial"/>
        </w:rPr>
        <w:t>lawful hacking;</w:t>
      </w:r>
    </w:p>
    <w:p w14:paraId="06A1E3F0" w14:textId="77777777" w:rsidR="00B022ED" w:rsidRPr="00C27CD6" w:rsidRDefault="00B022ED" w:rsidP="00B022ED">
      <w:pPr>
        <w:ind w:firstLine="720"/>
        <w:rPr>
          <w:rFonts w:ascii="Arial" w:hAnsi="Arial" w:cs="Arial"/>
        </w:rPr>
      </w:pPr>
      <w:r w:rsidRPr="00C27CD6">
        <w:rPr>
          <w:rFonts w:ascii="Arial" w:hAnsi="Arial" w:cs="Arial"/>
        </w:rPr>
        <w:t>extraordinary access;</w:t>
      </w:r>
    </w:p>
    <w:p w14:paraId="0BB21F6B" w14:textId="77777777" w:rsidR="00B022ED" w:rsidRPr="00C27CD6" w:rsidRDefault="00B022ED" w:rsidP="00B022ED">
      <w:pPr>
        <w:ind w:firstLine="720"/>
        <w:rPr>
          <w:rFonts w:ascii="Arial" w:hAnsi="Arial" w:cs="Arial"/>
        </w:rPr>
      </w:pPr>
      <w:r w:rsidRPr="00C27CD6">
        <w:rPr>
          <w:rFonts w:ascii="Arial" w:hAnsi="Arial" w:cs="Arial"/>
        </w:rPr>
        <w:t>equipment interference;</w:t>
      </w:r>
    </w:p>
    <w:p w14:paraId="4B6C0C4F" w14:textId="77777777" w:rsidR="00B022ED" w:rsidRPr="00C27CD6" w:rsidRDefault="00B022ED" w:rsidP="00B022ED">
      <w:pPr>
        <w:ind w:firstLine="720"/>
        <w:rPr>
          <w:rFonts w:ascii="Arial" w:hAnsi="Arial" w:cs="Arial"/>
        </w:rPr>
      </w:pPr>
      <w:r w:rsidRPr="00C27CD6">
        <w:rPr>
          <w:rFonts w:ascii="Arial" w:hAnsi="Arial" w:cs="Arial"/>
        </w:rPr>
        <w:t>Trojan horse;</w:t>
      </w:r>
    </w:p>
    <w:p w14:paraId="0B2114A2" w14:textId="77777777" w:rsidR="00B022ED" w:rsidRPr="00C27CD6" w:rsidRDefault="00B022ED" w:rsidP="00B022ED">
      <w:pPr>
        <w:ind w:firstLine="720"/>
        <w:rPr>
          <w:rFonts w:ascii="Arial" w:hAnsi="Arial" w:cs="Arial"/>
        </w:rPr>
      </w:pPr>
      <w:r w:rsidRPr="00C27CD6">
        <w:rPr>
          <w:rFonts w:ascii="Arial" w:hAnsi="Arial" w:cs="Arial"/>
        </w:rPr>
        <w:t>Magic Lantern;</w:t>
      </w:r>
    </w:p>
    <w:p w14:paraId="0F214DD7" w14:textId="77777777" w:rsidR="00B022ED" w:rsidRPr="00C27CD6" w:rsidRDefault="00B022ED" w:rsidP="00B022ED">
      <w:pPr>
        <w:ind w:firstLine="720"/>
        <w:rPr>
          <w:rFonts w:ascii="Arial" w:hAnsi="Arial" w:cs="Arial"/>
        </w:rPr>
      </w:pPr>
      <w:r w:rsidRPr="00C27CD6">
        <w:rPr>
          <w:rFonts w:ascii="Arial" w:hAnsi="Arial" w:cs="Arial"/>
        </w:rPr>
        <w:t>Malware;</w:t>
      </w:r>
    </w:p>
    <w:p w14:paraId="0BB3F36C" w14:textId="77777777" w:rsidR="00B022ED" w:rsidRPr="00C27CD6" w:rsidRDefault="00B022ED" w:rsidP="00B022ED">
      <w:pPr>
        <w:ind w:firstLine="720"/>
        <w:rPr>
          <w:rFonts w:ascii="Arial" w:hAnsi="Arial" w:cs="Arial"/>
        </w:rPr>
      </w:pPr>
      <w:r w:rsidRPr="00C27CD6">
        <w:rPr>
          <w:rFonts w:ascii="Arial" w:hAnsi="Arial" w:cs="Arial"/>
        </w:rPr>
        <w:t>Spyware;</w:t>
      </w:r>
    </w:p>
    <w:p w14:paraId="118E2033" w14:textId="77777777" w:rsidR="00B022ED" w:rsidRPr="00C27CD6" w:rsidRDefault="00B022ED" w:rsidP="00B022ED">
      <w:pPr>
        <w:ind w:firstLine="720"/>
        <w:rPr>
          <w:rFonts w:ascii="Arial" w:hAnsi="Arial" w:cs="Arial"/>
        </w:rPr>
      </w:pPr>
      <w:r w:rsidRPr="00C27CD6">
        <w:rPr>
          <w:rFonts w:ascii="Arial" w:hAnsi="Arial" w:cs="Arial"/>
        </w:rPr>
        <w:t>Trojans;</w:t>
      </w:r>
    </w:p>
    <w:p w14:paraId="1475ED37" w14:textId="77777777" w:rsidR="00B022ED" w:rsidRPr="00C27CD6" w:rsidRDefault="00B022ED" w:rsidP="00B022ED">
      <w:pPr>
        <w:ind w:firstLine="720"/>
        <w:rPr>
          <w:rFonts w:ascii="Arial" w:hAnsi="Arial" w:cs="Arial"/>
        </w:rPr>
      </w:pPr>
      <w:r w:rsidRPr="00C27CD6">
        <w:rPr>
          <w:rFonts w:ascii="Arial" w:hAnsi="Arial" w:cs="Arial"/>
        </w:rPr>
        <w:t>Worms;</w:t>
      </w:r>
    </w:p>
    <w:p w14:paraId="0B1A22A9" w14:textId="77777777" w:rsidR="00B022ED" w:rsidRPr="00C27CD6" w:rsidRDefault="00B022ED" w:rsidP="00B022ED">
      <w:pPr>
        <w:ind w:firstLine="720"/>
        <w:rPr>
          <w:rFonts w:ascii="Arial" w:hAnsi="Arial" w:cs="Arial"/>
        </w:rPr>
      </w:pPr>
      <w:r w:rsidRPr="00C27CD6">
        <w:rPr>
          <w:rFonts w:ascii="Arial" w:hAnsi="Arial" w:cs="Arial"/>
        </w:rPr>
        <w:t>viruses;</w:t>
      </w:r>
    </w:p>
    <w:p w14:paraId="04B07268" w14:textId="77777777" w:rsidR="00B022ED" w:rsidRPr="00C27CD6" w:rsidRDefault="00B022ED" w:rsidP="00B022ED">
      <w:pPr>
        <w:ind w:firstLine="720"/>
        <w:rPr>
          <w:rFonts w:ascii="Arial" w:hAnsi="Arial" w:cs="Arial"/>
        </w:rPr>
      </w:pPr>
      <w:r w:rsidRPr="00C27CD6">
        <w:rPr>
          <w:rFonts w:ascii="Arial" w:hAnsi="Arial" w:cs="Arial"/>
        </w:rPr>
        <w:lastRenderedPageBreak/>
        <w:t>phishing/spear phishing;</w:t>
      </w:r>
    </w:p>
    <w:p w14:paraId="0021BE6D" w14:textId="77777777" w:rsidR="00B022ED" w:rsidRPr="00C27CD6" w:rsidRDefault="00B022ED" w:rsidP="00B022ED">
      <w:pPr>
        <w:ind w:firstLine="720"/>
        <w:rPr>
          <w:rFonts w:ascii="Arial" w:hAnsi="Arial" w:cs="Arial"/>
        </w:rPr>
      </w:pPr>
      <w:r w:rsidRPr="00C27CD6">
        <w:rPr>
          <w:rFonts w:ascii="Arial" w:hAnsi="Arial" w:cs="Arial"/>
        </w:rPr>
        <w:t>watering hole attacks</w:t>
      </w:r>
    </w:p>
    <w:p w14:paraId="0E66B1A0" w14:textId="77777777" w:rsidR="00BA452E" w:rsidRDefault="00AF14D9" w:rsidP="00974E0E">
      <w:pPr>
        <w:rPr>
          <w:rFonts w:ascii="Arial" w:hAnsi="Arial" w:cs="Arial"/>
        </w:rPr>
      </w:pPr>
      <w:r w:rsidRPr="00C27CD6">
        <w:rPr>
          <w:rFonts w:ascii="Arial" w:hAnsi="Arial" w:cs="Arial"/>
        </w:rPr>
        <w:t xml:space="preserve">Separate searches were conducted in VIPER and IMIS for the search terms set out above, and, consistent with the distinction noted above, there were no results suggesting that OI has conducted investigations regarding these terms and techniques. </w:t>
      </w:r>
    </w:p>
    <w:p w14:paraId="7851E25E" w14:textId="63B13DA2" w:rsidR="00AF14D9" w:rsidRPr="00C27CD6" w:rsidRDefault="00BA452E" w:rsidP="00BA452E">
      <w:pPr>
        <w:ind w:firstLine="720"/>
        <w:rPr>
          <w:rFonts w:ascii="Arial" w:hAnsi="Arial" w:cs="Arial"/>
        </w:rPr>
      </w:pPr>
      <w:r>
        <w:rPr>
          <w:rFonts w:ascii="Arial" w:hAnsi="Arial" w:cs="Arial"/>
        </w:rPr>
        <w:t xml:space="preserve">In addition to the electronic searches of the databases, </w:t>
      </w:r>
      <w:r w:rsidRPr="00BA452E">
        <w:rPr>
          <w:rFonts w:ascii="Arial" w:hAnsi="Arial" w:cs="Arial"/>
        </w:rPr>
        <w:t>co</w:t>
      </w:r>
      <w:r>
        <w:rPr>
          <w:rFonts w:ascii="Arial" w:hAnsi="Arial" w:cs="Arial"/>
        </w:rPr>
        <w:t>nsultations were made with the subject matter experts (SME</w:t>
      </w:r>
      <w:r w:rsidRPr="00BA452E">
        <w:rPr>
          <w:rFonts w:ascii="Arial" w:hAnsi="Arial" w:cs="Arial"/>
        </w:rPr>
        <w:t>s</w:t>
      </w:r>
      <w:r>
        <w:rPr>
          <w:rFonts w:ascii="Arial" w:hAnsi="Arial" w:cs="Arial"/>
        </w:rPr>
        <w:t>)</w:t>
      </w:r>
      <w:r w:rsidRPr="00BA452E">
        <w:rPr>
          <w:rFonts w:ascii="Arial" w:hAnsi="Arial" w:cs="Arial"/>
        </w:rPr>
        <w:t xml:space="preserve"> that would have been assigned cases involving</w:t>
      </w:r>
      <w:r>
        <w:rPr>
          <w:rFonts w:ascii="Arial" w:hAnsi="Arial" w:cs="Arial"/>
        </w:rPr>
        <w:t xml:space="preserve"> </w:t>
      </w:r>
      <w:r w:rsidR="002B3764">
        <w:rPr>
          <w:rFonts w:ascii="Arial" w:hAnsi="Arial" w:cs="Arial"/>
        </w:rPr>
        <w:t xml:space="preserve">the use (if any) of </w:t>
      </w:r>
      <w:r w:rsidRPr="00BA452E">
        <w:rPr>
          <w:rFonts w:ascii="Arial" w:hAnsi="Arial" w:cs="Arial"/>
        </w:rPr>
        <w:t>hacking or CNE</w:t>
      </w:r>
      <w:r w:rsidR="002B3764">
        <w:rPr>
          <w:rFonts w:ascii="Arial" w:hAnsi="Arial" w:cs="Arial"/>
        </w:rPr>
        <w:t xml:space="preserve"> </w:t>
      </w:r>
      <w:r w:rsidRPr="00BA452E">
        <w:rPr>
          <w:rFonts w:ascii="Arial" w:hAnsi="Arial" w:cs="Arial"/>
        </w:rPr>
        <w:t>by treasury law enforcement entities</w:t>
      </w:r>
      <w:r w:rsidR="002B3764">
        <w:rPr>
          <w:rFonts w:ascii="Arial" w:hAnsi="Arial" w:cs="Arial"/>
        </w:rPr>
        <w:t>,</w:t>
      </w:r>
      <w:r w:rsidRPr="00BA452E">
        <w:rPr>
          <w:rFonts w:ascii="Arial" w:hAnsi="Arial" w:cs="Arial"/>
        </w:rPr>
        <w:t xml:space="preserve"> and none were aware of any such cases  being conducted by TIG. </w:t>
      </w:r>
      <w:r w:rsidR="00AF14D9" w:rsidRPr="00C27CD6">
        <w:rPr>
          <w:rFonts w:ascii="Arial" w:hAnsi="Arial" w:cs="Arial"/>
        </w:rPr>
        <w:t>The TIG employees and officials</w:t>
      </w:r>
      <w:r w:rsidR="00151965" w:rsidRPr="00C27CD6">
        <w:rPr>
          <w:rFonts w:ascii="Arial" w:hAnsi="Arial" w:cs="Arial"/>
        </w:rPr>
        <w:t>; specifically the Assistant Inspector General for Investigations and the database administrators</w:t>
      </w:r>
      <w:r w:rsidR="00AF14D9" w:rsidRPr="00C27CD6">
        <w:rPr>
          <w:rFonts w:ascii="Arial" w:hAnsi="Arial" w:cs="Arial"/>
        </w:rPr>
        <w:t xml:space="preserve"> responsible for its investigative work and record-keeping</w:t>
      </w:r>
      <w:r w:rsidR="00C27CD6">
        <w:rPr>
          <w:rFonts w:ascii="Arial" w:hAnsi="Arial" w:cs="Arial"/>
        </w:rPr>
        <w:t>,</w:t>
      </w:r>
      <w:r w:rsidR="00AF14D9" w:rsidRPr="00C27CD6">
        <w:rPr>
          <w:rFonts w:ascii="Arial" w:hAnsi="Arial" w:cs="Arial"/>
        </w:rPr>
        <w:t xml:space="preserve"> have no knowledge or recollection </w:t>
      </w:r>
      <w:r w:rsidR="00F31908" w:rsidRPr="00C27CD6">
        <w:rPr>
          <w:rFonts w:ascii="Arial" w:hAnsi="Arial" w:cs="Arial"/>
        </w:rPr>
        <w:t>of any investigation conducted of an</w:t>
      </w:r>
      <w:r w:rsidR="00D37A08" w:rsidRPr="00C27CD6">
        <w:rPr>
          <w:rFonts w:ascii="Arial" w:hAnsi="Arial" w:cs="Arial"/>
        </w:rPr>
        <w:t xml:space="preserve"> </w:t>
      </w:r>
      <w:r w:rsidR="00F31908" w:rsidRPr="00C27CD6">
        <w:rPr>
          <w:rFonts w:ascii="Arial" w:hAnsi="Arial" w:cs="Arial"/>
        </w:rPr>
        <w:t xml:space="preserve">agency that TIG oversees which has, or has been alleged to have, </w:t>
      </w:r>
      <w:r w:rsidR="00D37A08" w:rsidRPr="00C27CD6">
        <w:rPr>
          <w:rFonts w:ascii="Arial" w:hAnsi="Arial" w:cs="Arial"/>
        </w:rPr>
        <w:t xml:space="preserve">to use such techniques as an investigative method. </w:t>
      </w:r>
      <w:r w:rsidR="00F31908" w:rsidRPr="00C27CD6">
        <w:rPr>
          <w:rFonts w:ascii="Arial" w:hAnsi="Arial" w:cs="Arial"/>
        </w:rPr>
        <w:t>carried out such activities.</w:t>
      </w:r>
      <w:r w:rsidR="00D37A08" w:rsidRPr="00C27CD6">
        <w:rPr>
          <w:rFonts w:ascii="Arial" w:hAnsi="Arial" w:cs="Arial"/>
        </w:rPr>
        <w:t xml:space="preserve"> </w:t>
      </w:r>
    </w:p>
    <w:p w14:paraId="02E7B93D" w14:textId="77777777" w:rsidR="00E608C9" w:rsidRPr="00C27CD6" w:rsidRDefault="00D37A08" w:rsidP="00974E0E">
      <w:pPr>
        <w:rPr>
          <w:rFonts w:ascii="Arial" w:hAnsi="Arial" w:cs="Arial"/>
        </w:rPr>
      </w:pPr>
      <w:r w:rsidRPr="00C27CD6">
        <w:rPr>
          <w:rFonts w:ascii="Arial" w:hAnsi="Arial" w:cs="Arial"/>
          <w:u w:val="single"/>
        </w:rPr>
        <w:t xml:space="preserve">Office of Audit:  </w:t>
      </w:r>
      <w:r w:rsidRPr="00C27CD6">
        <w:rPr>
          <w:rFonts w:ascii="Arial" w:hAnsi="Arial" w:cs="Arial"/>
        </w:rPr>
        <w:t xml:space="preserve">With respect to the Office of Audit, TIG conducted review of the finished audit reports, which are posted on the Treasury OIG website, at </w:t>
      </w:r>
      <w:hyperlink r:id="rId8" w:history="1">
        <w:r w:rsidRPr="00C27CD6">
          <w:rPr>
            <w:rStyle w:val="Hyperlink"/>
            <w:rFonts w:ascii="Arial" w:hAnsi="Arial" w:cs="Arial"/>
          </w:rPr>
          <w:t>https://www.treasury.gov/about/organizational-structure/ig/Pages/audit_reports_index.aspx</w:t>
        </w:r>
      </w:hyperlink>
      <w:r w:rsidRPr="00C27CD6">
        <w:rPr>
          <w:rFonts w:ascii="Arial" w:hAnsi="Arial" w:cs="Arial"/>
        </w:rPr>
        <w:t xml:space="preserve">.  </w:t>
      </w:r>
    </w:p>
    <w:p w14:paraId="6D13F2B9" w14:textId="099F9185" w:rsidR="00D37A08" w:rsidRPr="00C27CD6" w:rsidRDefault="00151965" w:rsidP="00974E0E">
      <w:pPr>
        <w:rPr>
          <w:rFonts w:ascii="Arial" w:hAnsi="Arial" w:cs="Arial"/>
        </w:rPr>
      </w:pPr>
      <w:r w:rsidRPr="00C27CD6">
        <w:rPr>
          <w:rFonts w:ascii="Arial" w:hAnsi="Arial" w:cs="Arial"/>
        </w:rPr>
        <w:t>This website review was confirmed by consultation with the Assistant Inspector General for Audit, and employees responsible for audit workpaper and other recor</w:t>
      </w:r>
      <w:r w:rsidR="00C27CD6">
        <w:rPr>
          <w:rFonts w:ascii="Arial" w:hAnsi="Arial" w:cs="Arial"/>
        </w:rPr>
        <w:t>ds maintained in the Audit data</w:t>
      </w:r>
      <w:r w:rsidRPr="00C27CD6">
        <w:rPr>
          <w:rFonts w:ascii="Arial" w:hAnsi="Arial" w:cs="Arial"/>
        </w:rPr>
        <w:t>base.</w:t>
      </w:r>
    </w:p>
    <w:p w14:paraId="08C75EBD" w14:textId="03A0B759" w:rsidR="00F412F7" w:rsidRPr="00C27CD6" w:rsidRDefault="00F412F7" w:rsidP="002B3764">
      <w:pPr>
        <w:ind w:firstLine="720"/>
        <w:rPr>
          <w:rFonts w:ascii="Arial" w:hAnsi="Arial" w:cs="Arial"/>
        </w:rPr>
      </w:pPr>
      <w:r w:rsidRPr="00C27CD6">
        <w:rPr>
          <w:rFonts w:ascii="Arial" w:hAnsi="Arial" w:cs="Arial"/>
        </w:rPr>
        <w:t xml:space="preserve">In sum, Treasury OIG has </w:t>
      </w:r>
      <w:r w:rsidR="00E608C9" w:rsidRPr="00C27CD6">
        <w:rPr>
          <w:rFonts w:ascii="Arial" w:hAnsi="Arial" w:cs="Arial"/>
        </w:rPr>
        <w:t>not received or investigated allegations</w:t>
      </w:r>
      <w:r w:rsidRPr="00C27CD6">
        <w:rPr>
          <w:rFonts w:ascii="Arial" w:hAnsi="Arial" w:cs="Arial"/>
        </w:rPr>
        <w:t xml:space="preserve"> that any other Treasury law enforcement or investigative entity for which it conducts oversight, to wit the Mint Police, the BEP Police, the Alcohol and Tobacco Tax and Trade Bureau (TTB)</w:t>
      </w:r>
      <w:r w:rsidR="00E608C9" w:rsidRPr="00C27CD6">
        <w:rPr>
          <w:rFonts w:ascii="Arial" w:hAnsi="Arial" w:cs="Arial"/>
        </w:rPr>
        <w:t>, and the Financial Crimes Enforcement Network (FinCEN)</w:t>
      </w:r>
      <w:r w:rsidRPr="00C27CD6">
        <w:rPr>
          <w:rFonts w:ascii="Arial" w:hAnsi="Arial" w:cs="Arial"/>
        </w:rPr>
        <w:t xml:space="preserve">*, has used such techniques, processes, or tools.  </w:t>
      </w:r>
    </w:p>
    <w:p w14:paraId="71BBA565" w14:textId="0C660086" w:rsidR="00F412F7" w:rsidRPr="00C27CD6" w:rsidRDefault="00F412F7" w:rsidP="00F412F7">
      <w:pPr>
        <w:rPr>
          <w:rFonts w:ascii="Arial" w:hAnsi="Arial" w:cs="Arial"/>
        </w:rPr>
      </w:pPr>
      <w:bookmarkStart w:id="1" w:name="_MailEndCompose"/>
      <w:bookmarkEnd w:id="1"/>
      <w:r w:rsidRPr="00C27CD6">
        <w:rPr>
          <w:rFonts w:ascii="Arial" w:hAnsi="Arial" w:cs="Arial"/>
        </w:rPr>
        <w:t>*The Mint and BEP Police are uniformed forces that protect properties, facilities, assets and personnel of their respective bureaus.  TTB enforces Federal registration and excise tax laws regarding alcohol and tobacco, and has an internal investigative/enforcement function.</w:t>
      </w:r>
      <w:r w:rsidR="00C27CD6" w:rsidRPr="00C27CD6">
        <w:rPr>
          <w:rFonts w:ascii="Arial" w:hAnsi="Arial" w:cs="Arial"/>
        </w:rPr>
        <w:t xml:space="preserve">  FinCEN </w:t>
      </w:r>
      <w:r w:rsidR="00E608C9" w:rsidRPr="00C27CD6">
        <w:rPr>
          <w:rFonts w:ascii="Arial" w:hAnsi="Arial" w:cs="Arial"/>
        </w:rPr>
        <w:t xml:space="preserve">administers and enforces the transactional and reporting requirements of the Bank Secrecy Act.  </w:t>
      </w:r>
    </w:p>
    <w:p w14:paraId="46C50BF4" w14:textId="77777777" w:rsidR="00C77094" w:rsidRPr="00C27CD6" w:rsidRDefault="00922CD5">
      <w:pPr>
        <w:rPr>
          <w:rFonts w:ascii="Arial" w:hAnsi="Arial" w:cs="Arial"/>
        </w:rPr>
      </w:pPr>
    </w:p>
    <w:sectPr w:rsidR="00C77094" w:rsidRPr="00C27C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ABCD29" w14:textId="77777777" w:rsidR="003067E5" w:rsidRDefault="003067E5" w:rsidP="008E65E0">
      <w:pPr>
        <w:spacing w:after="0" w:line="240" w:lineRule="auto"/>
      </w:pPr>
      <w:r>
        <w:separator/>
      </w:r>
    </w:p>
  </w:endnote>
  <w:endnote w:type="continuationSeparator" w:id="0">
    <w:p w14:paraId="1C83F07E" w14:textId="77777777" w:rsidR="003067E5" w:rsidRDefault="003067E5" w:rsidP="008E6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20C48F" w14:textId="77777777" w:rsidR="003067E5" w:rsidRDefault="003067E5" w:rsidP="008E65E0">
      <w:pPr>
        <w:spacing w:after="0" w:line="240" w:lineRule="auto"/>
      </w:pPr>
      <w:r>
        <w:separator/>
      </w:r>
    </w:p>
  </w:footnote>
  <w:footnote w:type="continuationSeparator" w:id="0">
    <w:p w14:paraId="31694AA8" w14:textId="77777777" w:rsidR="003067E5" w:rsidRDefault="003067E5" w:rsidP="008E65E0">
      <w:pPr>
        <w:spacing w:after="0" w:line="240" w:lineRule="auto"/>
      </w:pPr>
      <w:r>
        <w:continuationSeparator/>
      </w:r>
    </w:p>
  </w:footnote>
  <w:footnote w:id="1">
    <w:p w14:paraId="57BC8F99" w14:textId="78546828" w:rsidR="008E65E0" w:rsidRPr="007A1697" w:rsidRDefault="008E65E0">
      <w:pPr>
        <w:pStyle w:val="FootnoteText"/>
        <w:rPr>
          <w:b/>
          <w:sz w:val="24"/>
          <w:szCs w:val="24"/>
        </w:rPr>
      </w:pPr>
      <w:r>
        <w:rPr>
          <w:rStyle w:val="FootnoteReference"/>
        </w:rPr>
        <w:footnoteRef/>
      </w:r>
      <w:r>
        <w:t xml:space="preserve"> </w:t>
      </w:r>
      <w:r w:rsidRPr="008E65E0">
        <w:rPr>
          <w:sz w:val="24"/>
          <w:szCs w:val="24"/>
        </w:rPr>
        <w:t>Prior to IMIS, OI used systems named Entellitrack and IDMS. A very limited amount of data was imported into IMIS when Entellitrack and IDMS were decommissioned.</w:t>
      </w:r>
      <w:r w:rsidR="007A1697">
        <w:rPr>
          <w:sz w:val="24"/>
          <w:szCs w:val="24"/>
        </w:rPr>
        <w:t xml:space="preserve"> </w:t>
      </w:r>
      <w:r w:rsidR="007A1697" w:rsidRPr="007A1697">
        <w:rPr>
          <w:sz w:val="24"/>
          <w:szCs w:val="24"/>
        </w:rPr>
        <w:t xml:space="preserve">The electronic data available for these two systems is available when conducting searches through IMIS.  </w:t>
      </w:r>
      <w:r w:rsidR="00BA452E">
        <w:rPr>
          <w:sz w:val="24"/>
          <w:szCs w:val="24"/>
        </w:rPr>
        <w:t>Although th</w:t>
      </w:r>
      <w:r w:rsidR="007A1697" w:rsidRPr="007A1697">
        <w:rPr>
          <w:sz w:val="24"/>
          <w:szCs w:val="24"/>
        </w:rPr>
        <w:t>e searches are very limited</w:t>
      </w:r>
      <w:r w:rsidR="00BA452E">
        <w:rPr>
          <w:sz w:val="24"/>
          <w:szCs w:val="24"/>
        </w:rPr>
        <w:t xml:space="preserve"> because </w:t>
      </w:r>
      <w:r w:rsidR="00BA452E" w:rsidRPr="00BA452E">
        <w:rPr>
          <w:sz w:val="24"/>
          <w:szCs w:val="24"/>
        </w:rPr>
        <w:t xml:space="preserve">Entellitrack and IDMS only </w:t>
      </w:r>
      <w:r w:rsidR="00BA452E">
        <w:rPr>
          <w:sz w:val="24"/>
          <w:szCs w:val="24"/>
        </w:rPr>
        <w:t>search case titles and entities</w:t>
      </w:r>
      <w:r w:rsidR="007A1697" w:rsidRPr="007A1697">
        <w:rPr>
          <w:sz w:val="24"/>
          <w:szCs w:val="24"/>
        </w:rPr>
        <w:t>, but they were included in our overall search in the interests of completeness.</w:t>
      </w:r>
      <w:r w:rsidR="007A1697">
        <w:rPr>
          <w:sz w:val="24"/>
          <w:szCs w:val="24"/>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54A87"/>
    <w:multiLevelType w:val="hybridMultilevel"/>
    <w:tmpl w:val="8350F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410617"/>
    <w:multiLevelType w:val="hybridMultilevel"/>
    <w:tmpl w:val="705045D0"/>
    <w:lvl w:ilvl="0" w:tplc="C17C6D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2F7"/>
    <w:rsid w:val="00151965"/>
    <w:rsid w:val="001A5C6D"/>
    <w:rsid w:val="002751BC"/>
    <w:rsid w:val="002B3764"/>
    <w:rsid w:val="003067E5"/>
    <w:rsid w:val="003649D6"/>
    <w:rsid w:val="00484E1F"/>
    <w:rsid w:val="00545411"/>
    <w:rsid w:val="0057407E"/>
    <w:rsid w:val="005E101D"/>
    <w:rsid w:val="005E160D"/>
    <w:rsid w:val="007040CF"/>
    <w:rsid w:val="0074592A"/>
    <w:rsid w:val="007A1697"/>
    <w:rsid w:val="007C3786"/>
    <w:rsid w:val="008C50DB"/>
    <w:rsid w:val="008E65E0"/>
    <w:rsid w:val="00922CD5"/>
    <w:rsid w:val="00974E0E"/>
    <w:rsid w:val="00997C8D"/>
    <w:rsid w:val="00AA2D48"/>
    <w:rsid w:val="00AC3BA1"/>
    <w:rsid w:val="00AF14D9"/>
    <w:rsid w:val="00AF6287"/>
    <w:rsid w:val="00B022ED"/>
    <w:rsid w:val="00BA452E"/>
    <w:rsid w:val="00C27CD6"/>
    <w:rsid w:val="00D37A08"/>
    <w:rsid w:val="00DB3E09"/>
    <w:rsid w:val="00DC21C5"/>
    <w:rsid w:val="00E608C9"/>
    <w:rsid w:val="00F31908"/>
    <w:rsid w:val="00F412F7"/>
    <w:rsid w:val="00F82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8AEA5"/>
  <w15:chartTrackingRefBased/>
  <w15:docId w15:val="{780C21BB-4C95-4D77-AF35-88456E82B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12F7"/>
    <w:rPr>
      <w:color w:val="0563C1" w:themeColor="hyperlink"/>
      <w:u w:val="single"/>
    </w:rPr>
  </w:style>
  <w:style w:type="paragraph" w:styleId="ListParagraph">
    <w:name w:val="List Paragraph"/>
    <w:basedOn w:val="Normal"/>
    <w:uiPriority w:val="34"/>
    <w:qFormat/>
    <w:rsid w:val="007C3786"/>
    <w:pPr>
      <w:ind w:left="720"/>
      <w:contextualSpacing/>
    </w:pPr>
  </w:style>
  <w:style w:type="paragraph" w:styleId="BalloonText">
    <w:name w:val="Balloon Text"/>
    <w:basedOn w:val="Normal"/>
    <w:link w:val="BalloonTextChar"/>
    <w:uiPriority w:val="99"/>
    <w:semiHidden/>
    <w:unhideWhenUsed/>
    <w:rsid w:val="007C3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786"/>
    <w:rPr>
      <w:rFonts w:ascii="Segoe UI" w:hAnsi="Segoe UI" w:cs="Segoe UI"/>
      <w:sz w:val="18"/>
      <w:szCs w:val="18"/>
    </w:rPr>
  </w:style>
  <w:style w:type="paragraph" w:styleId="FootnoteText">
    <w:name w:val="footnote text"/>
    <w:basedOn w:val="Normal"/>
    <w:link w:val="FootnoteTextChar"/>
    <w:uiPriority w:val="99"/>
    <w:semiHidden/>
    <w:unhideWhenUsed/>
    <w:rsid w:val="008E65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65E0"/>
    <w:rPr>
      <w:sz w:val="20"/>
      <w:szCs w:val="20"/>
    </w:rPr>
  </w:style>
  <w:style w:type="character" w:styleId="FootnoteReference">
    <w:name w:val="footnote reference"/>
    <w:basedOn w:val="DefaultParagraphFont"/>
    <w:uiPriority w:val="99"/>
    <w:semiHidden/>
    <w:unhideWhenUsed/>
    <w:rsid w:val="008E65E0"/>
    <w:rPr>
      <w:vertAlign w:val="superscript"/>
    </w:rPr>
  </w:style>
  <w:style w:type="character" w:styleId="CommentReference">
    <w:name w:val="annotation reference"/>
    <w:basedOn w:val="DefaultParagraphFont"/>
    <w:uiPriority w:val="99"/>
    <w:semiHidden/>
    <w:unhideWhenUsed/>
    <w:rsid w:val="008E65E0"/>
    <w:rPr>
      <w:sz w:val="16"/>
      <w:szCs w:val="16"/>
    </w:rPr>
  </w:style>
  <w:style w:type="paragraph" w:styleId="CommentText">
    <w:name w:val="annotation text"/>
    <w:basedOn w:val="Normal"/>
    <w:link w:val="CommentTextChar"/>
    <w:uiPriority w:val="99"/>
    <w:semiHidden/>
    <w:unhideWhenUsed/>
    <w:rsid w:val="008E65E0"/>
    <w:pPr>
      <w:spacing w:line="240" w:lineRule="auto"/>
    </w:pPr>
    <w:rPr>
      <w:sz w:val="20"/>
      <w:szCs w:val="20"/>
    </w:rPr>
  </w:style>
  <w:style w:type="character" w:customStyle="1" w:styleId="CommentTextChar">
    <w:name w:val="Comment Text Char"/>
    <w:basedOn w:val="DefaultParagraphFont"/>
    <w:link w:val="CommentText"/>
    <w:uiPriority w:val="99"/>
    <w:semiHidden/>
    <w:rsid w:val="008E65E0"/>
    <w:rPr>
      <w:sz w:val="20"/>
      <w:szCs w:val="20"/>
    </w:rPr>
  </w:style>
  <w:style w:type="paragraph" w:styleId="CommentSubject">
    <w:name w:val="annotation subject"/>
    <w:basedOn w:val="CommentText"/>
    <w:next w:val="CommentText"/>
    <w:link w:val="CommentSubjectChar"/>
    <w:uiPriority w:val="99"/>
    <w:semiHidden/>
    <w:unhideWhenUsed/>
    <w:rsid w:val="008E65E0"/>
    <w:rPr>
      <w:b/>
      <w:bCs/>
    </w:rPr>
  </w:style>
  <w:style w:type="character" w:customStyle="1" w:styleId="CommentSubjectChar">
    <w:name w:val="Comment Subject Char"/>
    <w:basedOn w:val="CommentTextChar"/>
    <w:link w:val="CommentSubject"/>
    <w:uiPriority w:val="99"/>
    <w:semiHidden/>
    <w:rsid w:val="008E65E0"/>
    <w:rPr>
      <w:b/>
      <w:bCs/>
      <w:sz w:val="20"/>
      <w:szCs w:val="20"/>
    </w:rPr>
  </w:style>
  <w:style w:type="paragraph" w:styleId="Revision">
    <w:name w:val="Revision"/>
    <w:hidden/>
    <w:uiPriority w:val="99"/>
    <w:semiHidden/>
    <w:rsid w:val="00F826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037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reasury.gov/about/organizational-structure/ig/Pages/audit_reports_index.asp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FE573-4503-4D3D-BA37-6DB3657B2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D2655817.dotm</Template>
  <TotalTime>1</TotalTime>
  <Pages>3</Pages>
  <Words>805</Words>
  <Characters>4591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DOJ</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Marcia Sowles</dc:creator>
  <cp:keywords/>
  <dc:description/>
  <cp:lastModifiedBy>Marcia Sowles</cp:lastModifiedBy>
  <cp:revision>3</cp:revision>
  <cp:lastPrinted>2019-09-03T13:44:00Z</cp:lastPrinted>
  <dcterms:created xsi:type="dcterms:W3CDTF">2019-08-22T20:00:00Z</dcterms:created>
  <dcterms:modified xsi:type="dcterms:W3CDTF">2019-09-03T13:44:00Z</dcterms:modified>
</cp:coreProperties>
</file>